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C" w:rsidRDefault="0093517C" w:rsidP="0093517C">
      <w:pPr>
        <w:spacing w:after="0" w:line="408" w:lineRule="auto"/>
        <w:ind w:left="-567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62700" cy="8719554"/>
            <wp:effectExtent l="19050" t="0" r="0" b="0"/>
            <wp:docPr id="1" name="Рисунок 1" descr="C:\Users\User\Desktop\сканы титульник\борисова\общество 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орисова\общество  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719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17C" w:rsidRDefault="0093517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A43E0" w:rsidRDefault="00FA43E0">
      <w:pPr>
        <w:spacing w:after="0"/>
        <w:ind w:left="120"/>
        <w:rPr>
          <w:lang w:val="ru-RU"/>
        </w:rPr>
        <w:sectPr w:rsidR="00FA43E0">
          <w:pgSz w:w="11906" w:h="16383"/>
          <w:pgMar w:top="567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2581081"/>
      <w:bookmarkStart w:id="1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едерал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ьной рабочей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«ОБЩЕСТВОЗНАНИЕ» (БАЗОВЫЙ УРОВЕНЬ)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НОГО ПРЕДМЕТА «ОБЩЕСТВОЗНАНИЕ» (БАЗОВЫЙ УРОВЕНЬ)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средней школе являются: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в период ранней юности, становление ее духовно-нравственных позиций и приорит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способности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личному самоопределению, самореализации, самоконтролю;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обучающихся к освоению социальных и гуманитарных дисциплин;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получать, анализировать, интерпретировать и системати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зировать социальную информацию из различных источников,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FA43E0" w:rsidRDefault="0093517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опыта обучающихся в применении получе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учетом преемственности с уровнем основного общего образования учебный предмет «Общест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российского общества в единстве социальных сфер и институтов и роли России в динамично изменяющемся мире;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государства и гражданского общества и регулирующие эти взаимодействия социальные нормы.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образования:</w:t>
      </w:r>
    </w:p>
    <w:p w:rsidR="00FA43E0" w:rsidRDefault="0093517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FA43E0" w:rsidRDefault="0093517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в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ития, путей решения актуальных социальных проблем;</w:t>
      </w:r>
    </w:p>
    <w:p w:rsidR="00FA43E0" w:rsidRDefault="0093517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развития ключевых навыков, формируемых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версальное значение для различных видов деятельности и при выборе профессии;</w:t>
      </w:r>
    </w:p>
    <w:p w:rsidR="00FA43E0" w:rsidRDefault="0093517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FA43E0" w:rsidRDefault="0093517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возможностей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самопрезентации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старшеклассников,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мотивирующей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и участие в социальных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практиках.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43E0" w:rsidRDefault="0093517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изучении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теоретического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A43E0" w:rsidRDefault="0093517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ряда ранее изученных социальных явлен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ий и процессов в более сложных и разнообразных связях и отношениях;</w:t>
      </w:r>
    </w:p>
    <w:p w:rsidR="00FA43E0" w:rsidRDefault="0093517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базовых методов социального познания;</w:t>
      </w:r>
    </w:p>
    <w:p w:rsidR="00FA43E0" w:rsidRDefault="0093517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 том числе связанные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выбором профессии;</w:t>
      </w:r>
    </w:p>
    <w:p w:rsidR="00FA43E0" w:rsidRDefault="0093517C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ПРЕДМЕТА «ОБЩЕСТВОЗНАНИЕ» (БАЗОВЫЙ УРОВЕНЬ) В УЧЕБНОМ ПЛАНЕ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A43E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(68 часов в год). Общая недельная нагрузка в каждом году обучения составляет 2 часа.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2581082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«ОБЩЕСТВОЗНАНИЕ» (БАЗОВЫЙ УРОВЕНЬ)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в обществе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как система. Общественные отношения. Связи между подсистемами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Человек как результат биологической и 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социокультурной</w:t>
      </w:r>
      <w:proofErr w:type="spellEnd"/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эволюции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. Влияние 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социокультурных</w:t>
      </w:r>
      <w:proofErr w:type="spellEnd"/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венное и индивидуальное сознание. Самосознание и социальное поведение.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Духовная культура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деятельность человека. Духовные це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культуры в формирование ценностей современного общества.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Функции науки. Возрастание роли науки в современном обществе. Направления научно-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технологического развития и научные достижения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самообразования. Цифровые образовательные ресурсы.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основные функц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ии. Особенности искусства как формы духовной культуры. Достижения современного российского искусства.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в сфере науки, образования, искусства.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жизнь общества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Роль экономики в жизни общества. Макроэконом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ие экономического цикла. Фазы экономического цикла. Причины экономических циклов.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деятельность и проблемы устойчивого развития общества.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Предприятие в экономике. Цели предприятия. Факторы производства. Альтернативная стоимость, способы и источники финансирова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 рынок. Финансовые институты. Банки. Банковская систем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и государство. Эко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номические функции государства. Общественные блага. Внешние эффекты. Государственный бюджет. Дефицит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профицит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Международная экономика. Международное разделение труда. Экспорт и импорт товаров и ус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луг. Выгоды и убытки от участия в международной торговле. Государственное регулирование внешней торговли.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сфера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общности, группы, их типы. Социальная стратификация, ее критерии. Социальное неравенство. Социальная структура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российского общества. Государственная поддержка социально незащищенных слоев общества в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и бра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Миграционные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процессы в современном мире. Этническ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ие общности. Нации и межнациональные отношения.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Этносоциальные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нормы и отклоняющееся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поведение. Формы соц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иальных девиаций. Конформизм. Социальный контроль и самоконтроль.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 сфера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Федеративное устройство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антикоррупционная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государства, механи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Политическая культура общества и личности. Политическое поведение. Политическое участ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ие. Причины абсентеизма. Политическая идеология, ее роль в обществе. Основные идейно-политические течения современности.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функции, виды. Типы партийных систем.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Избирательная система. Типы избирательных систем: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мажоритарная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пропорциональная, смешанная. Избирательная система в Российской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элита и политическое лидерство. Типология лидерства.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средс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 массовой информации в политической жизни общества. Интернет в современной политической коммуникации.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Правовое регулирование общественных отношений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в системе социальных норм. Источники права. Нормативные правовые акты, их 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Федерации.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Российской Федерации. Основы конституци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право. Гражданские правоотношения. Субъекты гражданского права. Организационно-правовые формы юрид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ических лиц. Гражданская дееспособность несовершеннолетних.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Трудовое право. Трудовые правоотношения.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право и его субъекты. Административное правонарушение и административн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ая ответственность.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ость, ее цели, виды наказаний в уголовном праве. Особенности уголовной ответственности несовершеннолетних.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Административный процесс. Суде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бное производство по делам об административных правонарушениях.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Уголовный процесс, его принципы и стадии. Субъекты уголовного процесса. 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Конституционное судопроизводство. Арбитражное судопроизводство.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A43E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Юридическое образование, юристы как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циально-профессиональная группа.</w:t>
      </w: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2581084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обучающимися программы среднего общего образования по предмету «Обществознание»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Гражданского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российского общества;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конфессий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школы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детско-юношеских организаций;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A43E0" w:rsidRDefault="0093517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волонтерской деятельности.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Патриотического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A43E0" w:rsidRDefault="0093517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FA43E0" w:rsidRDefault="0093517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Духовно-нравствен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ного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FA43E0" w:rsidRDefault="0093517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FA43E0" w:rsidRDefault="0093517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A43E0" w:rsidRDefault="0093517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личного вклада в построение устойчивого будущего;</w:t>
      </w:r>
    </w:p>
    <w:p w:rsidR="00FA43E0" w:rsidRDefault="0093517C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Эстетического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к миру, включая эстетику быта, научного и технического творчества, спорта, труда, общественных отношений;</w:t>
      </w:r>
    </w:p>
    <w:p w:rsidR="00FA43E0" w:rsidRDefault="0093517C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A43E0" w:rsidRDefault="0093517C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A43E0" w:rsidRDefault="0093517C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образа жизни, ответственного отношения к своему здоровью, потребность в физическом совершенствовании;</w:t>
      </w:r>
    </w:p>
    <w:p w:rsidR="00FA43E0" w:rsidRDefault="0093517C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Трудового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ценности мастерства, трудолюбие;</w:t>
      </w:r>
    </w:p>
    <w:p w:rsidR="00FA43E0" w:rsidRDefault="0093517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A43E0" w:rsidRDefault="0093517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FA43E0" w:rsidRDefault="0093517C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разованию и самообразованию на протяжении жизни.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Экологического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проблем;</w:t>
      </w:r>
    </w:p>
    <w:p w:rsidR="00FA43E0" w:rsidRDefault="0093517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A43E0" w:rsidRDefault="0093517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FA43E0" w:rsidRDefault="0093517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едпринимаемых действий, предотвращать их;</w:t>
      </w:r>
    </w:p>
    <w:p w:rsidR="00FA43E0" w:rsidRDefault="0093517C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расширение опыта деятельности экологической направленности.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Ценности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научного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познания</w:t>
      </w:r>
      <w:proofErr w:type="spellEnd"/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FA43E0" w:rsidRDefault="0093517C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чая понимание языка социально-экономической и политической коммуникации;</w:t>
      </w:r>
    </w:p>
    <w:p w:rsidR="00FA43E0" w:rsidRDefault="0093517C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FA43E0" w:rsidRDefault="0093517C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мообучению на протяжении всей жизни, интерес к изучению социальных и гуманитарных дисциплин.</w:t>
      </w:r>
    </w:p>
    <w:p w:rsidR="00FA43E0" w:rsidRDefault="00FA43E0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интеллект, предполагающий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й;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A43E0" w:rsidRDefault="0093517C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влять интерес и разрешать конфликты.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FA43E0" w:rsidRDefault="0093517C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дейс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твиями</w:t>
      </w:r>
      <w:proofErr w:type="spell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и актуализировать социальную проблему, рассматривать ее всесторонне;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роцессов;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(с учетом разных видов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деятельности), оценивать соответствие результатов целям, оценивать риски последствий деятельности;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A43E0" w:rsidRDefault="0093517C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роблем, в том числе учебно-познавательных.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и готовность к самостоятельному поиску методов решения практ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ических задач, применению различных методов социального познания;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рмировать научный тип мышления, применять научную терминологию, ключевые понятия и методы социальных наук;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социальных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оценивать их достоверность, прогнозировать изменение в новых условиях;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ектах, явлениях и процессах в познавательную и практическую области жизнедеятельности;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:rsidR="00FA43E0" w:rsidRDefault="0093517C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ативные решения.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A43E0" w:rsidRDefault="0093517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FA43E0" w:rsidRDefault="0093517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интернет-источ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ников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ее соответствие правовым и морально-этическим нормам;</w:t>
      </w:r>
    </w:p>
    <w:p w:rsidR="00FA43E0" w:rsidRDefault="0093517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ны, ресурсосбережения, правовых и этических норм, норм информационной безопасности;</w:t>
      </w:r>
    </w:p>
    <w:p w:rsidR="00FA43E0" w:rsidRDefault="0093517C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A43E0" w:rsidRDefault="0093517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кации во всех сферах жизни;</w:t>
      </w:r>
    </w:p>
    <w:p w:rsidR="00FA43E0" w:rsidRDefault="0093517C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A43E0" w:rsidRDefault="0093517C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иалог, уметь смягчать конфликтные ситуации;</w:t>
      </w:r>
    </w:p>
    <w:p w:rsidR="00FA43E0" w:rsidRDefault="0093517C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 и логично излагать свою точку зрения с использованием языковых средств.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Совместная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деятельность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совместных действий с учетом общих интересов и возможностей каждого члена коллектива;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обсуждать результаты совместной работы;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учебные исследовательские и социальные проекты, оценивать идеи с позиции новизны,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оригинальности, практической значимости;</w:t>
      </w:r>
    </w:p>
    <w:p w:rsidR="00FA43E0" w:rsidRDefault="0093517C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A43E0" w:rsidRDefault="0093517C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регулятивными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осущес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учетом имеющихся ресурсов, собственных возможностей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предпочтений;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аличии альтернатив, аргументировать сделанный выбор, брать ответственность за принятое решение;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A43E0" w:rsidRDefault="0093517C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турный уровень.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A43E0" w:rsidRDefault="0093517C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оснований; использовать приемы рефлексии для оценки ситуации, выбора верного решения;</w:t>
      </w:r>
    </w:p>
    <w:p w:rsidR="00FA43E0" w:rsidRDefault="0093517C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FA43E0" w:rsidRDefault="0093517C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Принятие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себя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FA43E0" w:rsidRDefault="0093517C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FA43E0" w:rsidRDefault="0093517C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FA43E0" w:rsidRDefault="0093517C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свое право и право других на ошибки;</w:t>
      </w:r>
    </w:p>
    <w:p w:rsidR="00FA43E0" w:rsidRDefault="0093517C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РЕЗУЛЬТАТЫ</w:t>
      </w: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роцесса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человеке как субъекте общественных отноше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профессиональной деятельности в области науки;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 экономике как науке и хозяйстве, роли госу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Характеризовать российские духовно-нравственные ценности, в том числе ценности человеческой жизни,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жизнь общества».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умениями определять смысл, различать призна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культура, духовные ценности, народ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различные смыслы многозначных понятий, в том числе: общество, личность, свобода, культура, экономика,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собственность;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классифицировать и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типологизировать</w:t>
      </w:r>
      <w:proofErr w:type="spellEnd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факторы производства; источники финансирования предприятий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 и деятельности; общественного и индивидуального сознания; чувственного и рационального познания; народной, массовой и элитарной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культуры; экономической деятельности и проблем устойчивого развития;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макроэкономических показателей и качества жизни; спроса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предложения;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редпринимательства;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 Иметь представления о методах изучения социальных явлений и процессов в социальных науках, включа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Применять знания, полученные при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 развитии духов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интернет-ресурсах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государственных органов, нормативные правовые акты, государств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енные документы стратегического характера, публикации в СМИ;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общества».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утых ответов, анализировать неадаптированные тексты.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ве», «Духовная культура», «Экономическая жизнь общества».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госу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 результате биологической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атегориях морали; возможностях самовоспитания; особенностях образования и науки в современном обществе;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социальной действительности, модельными ситуациями, примерами из личного социального опыта.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точки зрения социальных норм.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FA43E0" w:rsidRDefault="0093517C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семье как социальном институте, возрастании роли семейных ценностей; направлениях социально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политики в Российской Федерации, в том числе в области поддержки семьи;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 Характеризовать российские духовно-нравственные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отношений в Российской Федерации».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мы, социальный контроль 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оссийской Федерации, налог;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классифицировать 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типологизировать</w:t>
      </w:r>
      <w:proofErr w:type="spell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на основе предложенных критериев используемые в социальных науках понятия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lastRenderedPageBreak/>
        <w:t>гражданских прав, правоохранительные органы; организационно-правовые формы юридических ли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ц; права и обязанности родителей и детей; права и обязанности работников и работодателей;</w:t>
      </w:r>
      <w:proofErr w:type="gramEnd"/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взаимосвязи социальной, политической и других сфер жизни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общества; права и морали; государства и права; действия правовых регуляторов и развития общественных процессов;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причины и последствия преобразований в социальной, политической сферах, в правовом регулировании общественных отношений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Федерации; возрастания социальной мобильности; сохранения социального неравенства; социальных конфликтов; отклоняющегося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девиантного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характеризовать функц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Иметь представления о методах изучения социальной, политической сферы жизни общества, включая универсальные методы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Применять знания, полученные при изучении разделов «Социальная сфера», «Политическая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государственных органов, нормативные правовые акты, государственные документы стратегического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публикации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ерации».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ответов, анализировать неадаптированные тексты.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ое регулирование общественных отношений в Российской Федерации».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с ней;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овека; особенностях трудовых правоотношений несовершеннолетних работников;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особенностях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конкретизировать теоретические положения о конституционных принципах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циональной политики в Российской Федерации; социальных конфликтах, включая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этносоциальные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государственной службе и статусе государственного служащего; основах конституционного строя Российской Федера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принципах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уголовного права, уголовного процесса, гражданского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процесса фактами социальной действительности, модельными ситуациями, примера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 из личного социального опыта.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и, в том числе в цифровой среде, в целях управления личными финансами и обеспечения личной финансовой безопасности.</w:t>
      </w:r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ипичных (модельных) ситуациях с точки зрения социальных норм, в том числе норм морали и права.</w:t>
      </w:r>
      <w:proofErr w:type="gramEnd"/>
    </w:p>
    <w:p w:rsidR="00FA43E0" w:rsidRDefault="0093517C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A43E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алкоголизма и наркомании.</w:t>
      </w:r>
    </w:p>
    <w:p w:rsidR="00FA43E0" w:rsidRPr="0093517C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2581083"/>
      <w:bookmarkEnd w:id="4"/>
    </w:p>
    <w:p w:rsidR="00FA43E0" w:rsidRDefault="0093517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351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111"/>
        <w:gridCol w:w="4997"/>
        <w:gridCol w:w="1171"/>
        <w:gridCol w:w="1842"/>
        <w:gridCol w:w="1909"/>
        <w:gridCol w:w="3010"/>
      </w:tblGrid>
      <w:tr w:rsidR="00FA43E0">
        <w:trPr>
          <w:trHeight w:val="144"/>
        </w:trPr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11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сфера</w:t>
            </w:r>
            <w:proofErr w:type="spellEnd"/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нации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>
        <w:trPr>
          <w:trHeight w:val="144"/>
        </w:trPr>
        <w:tc>
          <w:tcPr>
            <w:tcW w:w="6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</w:p>
        </w:tc>
        <w:tc>
          <w:tcPr>
            <w:tcW w:w="6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сфера</w:t>
            </w:r>
            <w:proofErr w:type="spellEnd"/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власть и политические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система. Государство —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основной институт политической системы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культура общества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идеология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>
        <w:trPr>
          <w:trHeight w:val="144"/>
        </w:trPr>
        <w:tc>
          <w:tcPr>
            <w:tcW w:w="6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6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Конституционные права, свободы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обязанности человека и гражданина в Российской Федерации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>
        <w:trPr>
          <w:trHeight w:val="144"/>
        </w:trPr>
        <w:tc>
          <w:tcPr>
            <w:tcW w:w="6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6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6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A43E0">
        <w:trPr>
          <w:trHeight w:val="144"/>
        </w:trPr>
        <w:tc>
          <w:tcPr>
            <w:tcW w:w="61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43E0" w:rsidRDefault="00FA43E0">
      <w:pPr>
        <w:sectPr w:rsidR="00FA43E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FA43E0" w:rsidRDefault="0093517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5" w:name="block-42581078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850"/>
        <w:gridCol w:w="3892"/>
        <w:gridCol w:w="1137"/>
        <w:gridCol w:w="1842"/>
        <w:gridCol w:w="1910"/>
        <w:gridCol w:w="1346"/>
        <w:gridCol w:w="3063"/>
      </w:tblGrid>
      <w:tr w:rsidR="00FA43E0">
        <w:trPr>
          <w:trHeight w:val="144"/>
        </w:trPr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0088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стратификация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0286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Социальное положение личности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 и пути его изменения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0416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мобильность и ее виды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нации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proofErr w:type="spellEnd"/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нормы и отклоняющееся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поведение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2964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3274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Российской 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идеология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партии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элита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лидерство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5538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5772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Правонарушения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Правонарушение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ответственность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8405614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8407658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8407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8408382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налогоплательщиков. Ответственность за налоговые правонарушения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правоотношений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принципы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конституционного, арбитражного процессов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уголовного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процесса</w:t>
            </w:r>
            <w:proofErr w:type="spellEnd"/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8409354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  <w:proofErr w:type="spellEnd"/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Итоговое повторение,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0" w:rsidRPr="0093517C">
        <w:trPr>
          <w:trHeight w:val="144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"Правовое регулирование общественных отношений в Российской Федерации"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A43E0">
        <w:trPr>
          <w:trHeight w:val="144"/>
        </w:trPr>
        <w:tc>
          <w:tcPr>
            <w:tcW w:w="47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93517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4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3E0" w:rsidRDefault="00FA43E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43E0" w:rsidRDefault="00FA43E0">
      <w:pPr>
        <w:sectPr w:rsidR="00FA43E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FA43E0" w:rsidRDefault="0093517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block-42581079"/>
      <w:bookmarkStart w:id="7" w:name="block-42581080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УЧЕБНО-МЕТОДИЧЕСКОЕ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ОБЕСПЕЧЕНИЕ ОБРАЗОВАТЕЛЬНОГО ПРОЦЕССА</w:t>
      </w: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709e4831-5c1b-44e3-bddb-9944ecb0fbb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Обществознание, 11 класс/ Боголюбов Л.Н.,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Лазебникова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А.Ю., Матвеев А.И. и др.; под редакцией Боголюбова Л.Н.,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Лазебниковой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А.Ю.,Акционерное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 «Издательство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«Просвещение»</w:t>
      </w:r>
      <w:bookmarkEnd w:id="8"/>
    </w:p>
    <w:p w:rsidR="00FA43E0" w:rsidRDefault="00FA43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Боголюбов Л.Н. и др. Обществознание. 10-11 класс. Базовый уровень// Программы общеобразовательных учреждений: История. Обществознание: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- 2 изд. М.: Просвещение, 2023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КИМ 2024-2025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dcea5136-80d8-47bb-9b1f-b5edf5e0a69b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Кравченко А.И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Задачник по обществознанию для 10-11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чебное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пособие. -М.: Русское слово-2006</w:t>
      </w:r>
      <w:bookmarkEnd w:id="9"/>
    </w:p>
    <w:p w:rsidR="00FA43E0" w:rsidRDefault="00FA43E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A43E0" w:rsidRDefault="009351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Министерство образования и науки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портал ФИПИ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e48e3838-66c0-4f00-a186-00a1e3eb44f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color w:val="000000"/>
          <w:sz w:val="24"/>
          <w:szCs w:val="24"/>
        </w:rPr>
        <w:t>http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color w:val="000000"/>
          <w:sz w:val="24"/>
          <w:szCs w:val="24"/>
        </w:rPr>
        <w:t>www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ege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-портал ЕГЭ</w:t>
      </w:r>
      <w:bookmarkEnd w:id="1"/>
      <w:bookmarkEnd w:id="7"/>
      <w:bookmarkEnd w:id="10"/>
    </w:p>
    <w:p w:rsidR="00FA43E0" w:rsidRDefault="00FA43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FA43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FA43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43E0" w:rsidRDefault="00FA43E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A43E0" w:rsidSect="00FA43E0">
      <w:pgSz w:w="16383" w:h="11906" w:orient="landscape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E15"/>
    <w:multiLevelType w:val="multilevel"/>
    <w:tmpl w:val="38206E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B0B6A"/>
    <w:multiLevelType w:val="multilevel"/>
    <w:tmpl w:val="48461D8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B516690"/>
    <w:multiLevelType w:val="multilevel"/>
    <w:tmpl w:val="DD7C90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F0D08C6"/>
    <w:multiLevelType w:val="multilevel"/>
    <w:tmpl w:val="6FF20F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4C90982"/>
    <w:multiLevelType w:val="multilevel"/>
    <w:tmpl w:val="DC06594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21740B3D"/>
    <w:multiLevelType w:val="multilevel"/>
    <w:tmpl w:val="BC0CC65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22914676"/>
    <w:multiLevelType w:val="multilevel"/>
    <w:tmpl w:val="9EFA7D2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233F6E85"/>
    <w:multiLevelType w:val="multilevel"/>
    <w:tmpl w:val="732270B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285E4878"/>
    <w:multiLevelType w:val="multilevel"/>
    <w:tmpl w:val="B6EC26E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354725BD"/>
    <w:multiLevelType w:val="multilevel"/>
    <w:tmpl w:val="09346E7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35832DC9"/>
    <w:multiLevelType w:val="multilevel"/>
    <w:tmpl w:val="6A86144C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373F3D5C"/>
    <w:multiLevelType w:val="multilevel"/>
    <w:tmpl w:val="890AA6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3BAA3076"/>
    <w:multiLevelType w:val="multilevel"/>
    <w:tmpl w:val="D79029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3C607EA0"/>
    <w:multiLevelType w:val="multilevel"/>
    <w:tmpl w:val="19D6B10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445E08E3"/>
    <w:multiLevelType w:val="multilevel"/>
    <w:tmpl w:val="1A36CC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461D1470"/>
    <w:multiLevelType w:val="multilevel"/>
    <w:tmpl w:val="8132E6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60502D19"/>
    <w:multiLevelType w:val="multilevel"/>
    <w:tmpl w:val="90FC8CE0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6A7C691D"/>
    <w:multiLevelType w:val="multilevel"/>
    <w:tmpl w:val="B616FD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6D7E3AD0"/>
    <w:multiLevelType w:val="multilevel"/>
    <w:tmpl w:val="DF6E31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6DF52BA7"/>
    <w:multiLevelType w:val="multilevel"/>
    <w:tmpl w:val="E23CA6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72B5684C"/>
    <w:multiLevelType w:val="multilevel"/>
    <w:tmpl w:val="E778A01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740954F1"/>
    <w:multiLevelType w:val="multilevel"/>
    <w:tmpl w:val="E23E0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7A05531B"/>
    <w:multiLevelType w:val="multilevel"/>
    <w:tmpl w:val="1390EC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7C3D138D"/>
    <w:multiLevelType w:val="multilevel"/>
    <w:tmpl w:val="957E99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3"/>
  </w:num>
  <w:num w:numId="5">
    <w:abstractNumId w:val="11"/>
  </w:num>
  <w:num w:numId="6">
    <w:abstractNumId w:val="19"/>
  </w:num>
  <w:num w:numId="7">
    <w:abstractNumId w:val="13"/>
  </w:num>
  <w:num w:numId="8">
    <w:abstractNumId w:val="18"/>
  </w:num>
  <w:num w:numId="9">
    <w:abstractNumId w:val="6"/>
  </w:num>
  <w:num w:numId="10">
    <w:abstractNumId w:val="5"/>
  </w:num>
  <w:num w:numId="11">
    <w:abstractNumId w:val="7"/>
  </w:num>
  <w:num w:numId="12">
    <w:abstractNumId w:val="14"/>
  </w:num>
  <w:num w:numId="13">
    <w:abstractNumId w:val="4"/>
  </w:num>
  <w:num w:numId="14">
    <w:abstractNumId w:val="20"/>
  </w:num>
  <w:num w:numId="15">
    <w:abstractNumId w:val="0"/>
  </w:num>
  <w:num w:numId="16">
    <w:abstractNumId w:val="22"/>
  </w:num>
  <w:num w:numId="17">
    <w:abstractNumId w:val="10"/>
  </w:num>
  <w:num w:numId="18">
    <w:abstractNumId w:val="2"/>
  </w:num>
  <w:num w:numId="19">
    <w:abstractNumId w:val="8"/>
  </w:num>
  <w:num w:numId="20">
    <w:abstractNumId w:val="16"/>
  </w:num>
  <w:num w:numId="21">
    <w:abstractNumId w:val="23"/>
  </w:num>
  <w:num w:numId="22">
    <w:abstractNumId w:val="12"/>
  </w:num>
  <w:num w:numId="23">
    <w:abstractNumId w:val="15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A43E0"/>
    <w:rsid w:val="0093517C"/>
    <w:rsid w:val="00FA4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A43E0"/>
    <w:rPr>
      <w:color w:val="0000FF" w:themeColor="hyperlink"/>
      <w:u w:val="single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9C3155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qFormat/>
    <w:rsid w:val="00FA43E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rsid w:val="00FA43E0"/>
    <w:pPr>
      <w:spacing w:after="140"/>
    </w:pPr>
  </w:style>
  <w:style w:type="paragraph" w:styleId="ad">
    <w:name w:val="List"/>
    <w:basedOn w:val="ac"/>
    <w:rsid w:val="00FA43E0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FA43E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FA43E0"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  <w:rsid w:val="00FA43E0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1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9"/>
    <w:uiPriority w:val="99"/>
    <w:semiHidden/>
    <w:unhideWhenUsed/>
    <w:qFormat/>
    <w:rsid w:val="009C3155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FA43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f62" TargetMode="External"/><Relationship Id="rId18" Type="http://schemas.openxmlformats.org/officeDocument/2006/relationships/hyperlink" Target="https://m.edsoo.ru/7f41cf62" TargetMode="External"/><Relationship Id="rId26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f5ed2b30" TargetMode="External"/><Relationship Id="rId21" Type="http://schemas.openxmlformats.org/officeDocument/2006/relationships/hyperlink" Target="https://m.edsoo.ru/7f41cf62" TargetMode="External"/><Relationship Id="rId34" Type="http://schemas.openxmlformats.org/officeDocument/2006/relationships/hyperlink" Target="https://m.edsoo.ru/f5ed0de4" TargetMode="External"/><Relationship Id="rId42" Type="http://schemas.openxmlformats.org/officeDocument/2006/relationships/hyperlink" Target="https://m.edsoo.ru/f5ed2efa" TargetMode="External"/><Relationship Id="rId47" Type="http://schemas.openxmlformats.org/officeDocument/2006/relationships/hyperlink" Target="https://m.edsoo.ru/f8409a34" TargetMode="External"/><Relationship Id="rId50" Type="http://schemas.openxmlformats.org/officeDocument/2006/relationships/hyperlink" Target="https://m.edsoo.ru/f5ed4b56" TargetMode="External"/><Relationship Id="rId55" Type="http://schemas.openxmlformats.org/officeDocument/2006/relationships/hyperlink" Target="https://m.edsoo.ru/f5ed3d46" TargetMode="External"/><Relationship Id="rId63" Type="http://schemas.openxmlformats.org/officeDocument/2006/relationships/hyperlink" Target="https://m.edsoo.ru/f8407658" TargetMode="External"/><Relationship Id="rId68" Type="http://schemas.openxmlformats.org/officeDocument/2006/relationships/hyperlink" Target="https://m.edsoo.ru/f84058f8" TargetMode="External"/><Relationship Id="rId76" Type="http://schemas.openxmlformats.org/officeDocument/2006/relationships/hyperlink" Target="https://m.edsoo.ru/f84091d8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7f41cf62" TargetMode="External"/><Relationship Id="rId71" Type="http://schemas.openxmlformats.org/officeDocument/2006/relationships/hyperlink" Target="https://m.edsoo.ru/f840608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cf62" TargetMode="External"/><Relationship Id="rId29" Type="http://schemas.openxmlformats.org/officeDocument/2006/relationships/hyperlink" Target="https://m.edsoo.ru/f5ed0088" TargetMode="External"/><Relationship Id="rId11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f62" TargetMode="External"/><Relationship Id="rId32" Type="http://schemas.openxmlformats.org/officeDocument/2006/relationships/hyperlink" Target="https://m.edsoo.ru/f5ed112c" TargetMode="External"/><Relationship Id="rId37" Type="http://schemas.openxmlformats.org/officeDocument/2006/relationships/hyperlink" Target="https://m.edsoo.ru/f5ed0ad8" TargetMode="External"/><Relationship Id="rId40" Type="http://schemas.openxmlformats.org/officeDocument/2006/relationships/hyperlink" Target="https://m.edsoo.ru/f5ed2964" TargetMode="External"/><Relationship Id="rId45" Type="http://schemas.openxmlformats.org/officeDocument/2006/relationships/hyperlink" Target="https://m.edsoo.ru/f5ed347c" TargetMode="External"/><Relationship Id="rId53" Type="http://schemas.openxmlformats.org/officeDocument/2006/relationships/hyperlink" Target="https://m.edsoo.ru/f5ed39c2" TargetMode="External"/><Relationship Id="rId58" Type="http://schemas.openxmlformats.org/officeDocument/2006/relationships/hyperlink" Target="https://m.edsoo.ru/f5ed5538" TargetMode="External"/><Relationship Id="rId66" Type="http://schemas.openxmlformats.org/officeDocument/2006/relationships/hyperlink" Target="https://m.edsoo.ru/f8408382" TargetMode="External"/><Relationship Id="rId74" Type="http://schemas.openxmlformats.org/officeDocument/2006/relationships/hyperlink" Target="https://m.edsoo.ru/f84094f8" TargetMode="External"/><Relationship Id="rId79" Type="http://schemas.openxmlformats.org/officeDocument/2006/relationships/hyperlink" Target="https://m.edsoo.ru/f8409da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05614" TargetMode="External"/><Relationship Id="rId82" Type="http://schemas.openxmlformats.org/officeDocument/2006/relationships/hyperlink" Target="https://m.edsoo.ru/f840baa0" TargetMode="External"/><Relationship Id="rId19" Type="http://schemas.openxmlformats.org/officeDocument/2006/relationships/hyperlink" Target="https://m.edsoo.ru/7f41cf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f62" TargetMode="External"/><Relationship Id="rId14" Type="http://schemas.openxmlformats.org/officeDocument/2006/relationships/hyperlink" Target="https://m.edsoo.ru/7f41cf62" TargetMode="External"/><Relationship Id="rId22" Type="http://schemas.openxmlformats.org/officeDocument/2006/relationships/hyperlink" Target="https://m.edsoo.ru/7f41cf62" TargetMode="External"/><Relationship Id="rId27" Type="http://schemas.openxmlformats.org/officeDocument/2006/relationships/hyperlink" Target="https://m.edsoo.ru/7f41cf62" TargetMode="External"/><Relationship Id="rId30" Type="http://schemas.openxmlformats.org/officeDocument/2006/relationships/hyperlink" Target="https://m.edsoo.ru/f5ed0286" TargetMode="External"/><Relationship Id="rId35" Type="http://schemas.openxmlformats.org/officeDocument/2006/relationships/hyperlink" Target="https://m.edsoo.ru/f5ed0fba" TargetMode="External"/><Relationship Id="rId43" Type="http://schemas.openxmlformats.org/officeDocument/2006/relationships/hyperlink" Target="https://m.edsoo.ru/f5ed3274" TargetMode="External"/><Relationship Id="rId48" Type="http://schemas.openxmlformats.org/officeDocument/2006/relationships/hyperlink" Target="https://m.edsoo.ru/f5ed49b2" TargetMode="External"/><Relationship Id="rId56" Type="http://schemas.openxmlformats.org/officeDocument/2006/relationships/hyperlink" Target="https://m.edsoo.ru/f5ed3f94" TargetMode="External"/><Relationship Id="rId64" Type="http://schemas.openxmlformats.org/officeDocument/2006/relationships/hyperlink" Target="https://m.edsoo.ru/f8407e0a" TargetMode="External"/><Relationship Id="rId69" Type="http://schemas.openxmlformats.org/officeDocument/2006/relationships/hyperlink" Target="https://m.edsoo.ru/f84085e4" TargetMode="External"/><Relationship Id="rId77" Type="http://schemas.openxmlformats.org/officeDocument/2006/relationships/hyperlink" Target="https://m.edsoo.ru/f8409354" TargetMode="External"/><Relationship Id="rId8" Type="http://schemas.openxmlformats.org/officeDocument/2006/relationships/hyperlink" Target="https://m.edsoo.ru/7f41cf62" TargetMode="External"/><Relationship Id="rId51" Type="http://schemas.openxmlformats.org/officeDocument/2006/relationships/hyperlink" Target="https://m.edsoo.ru/f5ed4dae" TargetMode="External"/><Relationship Id="rId72" Type="http://schemas.openxmlformats.org/officeDocument/2006/relationships/hyperlink" Target="https://m.edsoo.ru/f8409354" TargetMode="External"/><Relationship Id="rId80" Type="http://schemas.openxmlformats.org/officeDocument/2006/relationships/hyperlink" Target="https://m.edsoo.ru/f840b73a" TargetMode="Externa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7f41cf62" TargetMode="External"/><Relationship Id="rId17" Type="http://schemas.openxmlformats.org/officeDocument/2006/relationships/hyperlink" Target="https://m.edsoo.ru/7f41cf62" TargetMode="External"/><Relationship Id="rId25" Type="http://schemas.openxmlformats.org/officeDocument/2006/relationships/hyperlink" Target="https://m.edsoo.ru/7f41cf62" TargetMode="External"/><Relationship Id="rId33" Type="http://schemas.openxmlformats.org/officeDocument/2006/relationships/hyperlink" Target="https://m.edsoo.ru/f5ed129e" TargetMode="External"/><Relationship Id="rId38" Type="http://schemas.openxmlformats.org/officeDocument/2006/relationships/hyperlink" Target="https://m.edsoo.ru/f5ed07a4" TargetMode="External"/><Relationship Id="rId46" Type="http://schemas.openxmlformats.org/officeDocument/2006/relationships/hyperlink" Target="https://m.edsoo.ru/f5ed363e" TargetMode="External"/><Relationship Id="rId59" Type="http://schemas.openxmlformats.org/officeDocument/2006/relationships/hyperlink" Target="https://m.edsoo.ru/f5ed5772" TargetMode="External"/><Relationship Id="rId67" Type="http://schemas.openxmlformats.org/officeDocument/2006/relationships/hyperlink" Target="https://m.edsoo.ru/f840876a" TargetMode="External"/><Relationship Id="rId2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f5ed2cf2" TargetMode="External"/><Relationship Id="rId54" Type="http://schemas.openxmlformats.org/officeDocument/2006/relationships/hyperlink" Target="https://m.edsoo.ru/f5ed380a" TargetMode="External"/><Relationship Id="rId62" Type="http://schemas.openxmlformats.org/officeDocument/2006/relationships/hyperlink" Target="https://m.edsoo.ru/f84096d8" TargetMode="External"/><Relationship Id="rId70" Type="http://schemas.openxmlformats.org/officeDocument/2006/relationships/hyperlink" Target="https://m.edsoo.ru/f84091d8" TargetMode="External"/><Relationship Id="rId75" Type="http://schemas.openxmlformats.org/officeDocument/2006/relationships/hyperlink" Target="https://m.edsoo.ru/f8408fe4" TargetMode="External"/><Relationship Id="rId83" Type="http://schemas.openxmlformats.org/officeDocument/2006/relationships/hyperlink" Target="https://m.edsoo.ru/f840bc4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cf62" TargetMode="External"/><Relationship Id="rId23" Type="http://schemas.openxmlformats.org/officeDocument/2006/relationships/hyperlink" Target="https://m.edsoo.ru/7f41cf62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f5ed092a" TargetMode="External"/><Relationship Id="rId49" Type="http://schemas.openxmlformats.org/officeDocument/2006/relationships/hyperlink" Target="https://m.edsoo.ru/f5ed414c" TargetMode="External"/><Relationship Id="rId57" Type="http://schemas.openxmlformats.org/officeDocument/2006/relationships/hyperlink" Target="https://m.edsoo.ru/f5ed536c" TargetMode="External"/><Relationship Id="rId10" Type="http://schemas.openxmlformats.org/officeDocument/2006/relationships/hyperlink" Target="https://m.edsoo.ru/7f41cf62" TargetMode="External"/><Relationship Id="rId31" Type="http://schemas.openxmlformats.org/officeDocument/2006/relationships/hyperlink" Target="https://m.edsoo.ru/f5ed0416" TargetMode="External"/><Relationship Id="rId44" Type="http://schemas.openxmlformats.org/officeDocument/2006/relationships/hyperlink" Target="https://m.edsoo.ru/f84050c4" TargetMode="External"/><Relationship Id="rId52" Type="http://schemas.openxmlformats.org/officeDocument/2006/relationships/hyperlink" Target="https://m.edsoo.ru/f5ed4444" TargetMode="External"/><Relationship Id="rId60" Type="http://schemas.openxmlformats.org/officeDocument/2006/relationships/hyperlink" Target="https://m.edsoo.ru/f84050c4" TargetMode="External"/><Relationship Id="rId65" Type="http://schemas.openxmlformats.org/officeDocument/2006/relationships/hyperlink" Target="https://m.edsoo.ru/f8407fe0" TargetMode="External"/><Relationship Id="rId73" Type="http://schemas.openxmlformats.org/officeDocument/2006/relationships/hyperlink" Target="https://m.edsoo.ru/f8409354" TargetMode="External"/><Relationship Id="rId78" Type="http://schemas.openxmlformats.org/officeDocument/2006/relationships/hyperlink" Target="https://m.edsoo.ru/f8409be2" TargetMode="External"/><Relationship Id="rId81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45E9-E0EF-4A38-A1ED-16FF1CAB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9720</Words>
  <Characters>55408</Characters>
  <Application>Microsoft Office Word</Application>
  <DocSecurity>0</DocSecurity>
  <Lines>461</Lines>
  <Paragraphs>129</Paragraphs>
  <ScaleCrop>false</ScaleCrop>
  <Company>SPecialiST RePack</Company>
  <LinksUpToDate>false</LinksUpToDate>
  <CharactersWithSpaces>64999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6</cp:revision>
  <cp:lastPrinted>2024-09-12T06:59:00Z</cp:lastPrinted>
  <dcterms:created xsi:type="dcterms:W3CDTF">2024-09-12T06:58:00Z</dcterms:created>
  <dcterms:modified xsi:type="dcterms:W3CDTF">2024-10-22T09:23:00Z</dcterms:modified>
  <dc:language>ru-RU</dc:language>
</cp:coreProperties>
</file>